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15F6">
        <w:trPr>
          <w:trHeight w:hRule="exact" w:val="152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5543" w:type="dxa"/>
            <w:gridSpan w:val="4"/>
            <w:shd w:val="clear" w:color="000000" w:fill="FFFFFF"/>
            <w:tcMar>
              <w:left w:w="34" w:type="dxa"/>
              <w:right w:w="34" w:type="dxa"/>
            </w:tcMar>
          </w:tcPr>
          <w:p w:rsidR="00D215F6" w:rsidRDefault="00102BF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215F6">
        <w:trPr>
          <w:trHeight w:hRule="exact" w:val="13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585"/>
        </w:trPr>
        <w:tc>
          <w:tcPr>
            <w:tcW w:w="10221" w:type="dxa"/>
            <w:gridSpan w:val="10"/>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15F6" w:rsidRDefault="00102B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15F6">
        <w:trPr>
          <w:trHeight w:hRule="exact" w:val="314"/>
        </w:trPr>
        <w:tc>
          <w:tcPr>
            <w:tcW w:w="10221" w:type="dxa"/>
            <w:gridSpan w:val="10"/>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15F6">
        <w:trPr>
          <w:trHeight w:hRule="exact" w:val="211"/>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3842" w:type="dxa"/>
            <w:gridSpan w:val="2"/>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УТВЕРЖДАЮ</w:t>
            </w:r>
          </w:p>
        </w:tc>
      </w:tr>
      <w:tr w:rsidR="00D215F6">
        <w:trPr>
          <w:trHeight w:hRule="exact" w:val="13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3842" w:type="dxa"/>
            <w:gridSpan w:val="2"/>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215F6">
        <w:trPr>
          <w:trHeight w:hRule="exact" w:val="13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3842" w:type="dxa"/>
            <w:gridSpan w:val="2"/>
            <w:shd w:val="clear" w:color="000000" w:fill="FFFFFF"/>
            <w:tcMar>
              <w:left w:w="34" w:type="dxa"/>
              <w:right w:w="34" w:type="dxa"/>
            </w:tcMar>
          </w:tcPr>
          <w:p w:rsidR="00D215F6" w:rsidRDefault="00102BF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15F6">
        <w:trPr>
          <w:trHeight w:hRule="exact" w:val="13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3842" w:type="dxa"/>
            <w:gridSpan w:val="2"/>
            <w:shd w:val="clear" w:color="000000" w:fill="FFFFFF"/>
            <w:tcMar>
              <w:left w:w="34" w:type="dxa"/>
              <w:right w:w="34" w:type="dxa"/>
            </w:tcMar>
          </w:tcPr>
          <w:p w:rsidR="00D215F6" w:rsidRDefault="00102BF3">
            <w:pPr>
              <w:spacing w:after="0" w:line="240" w:lineRule="auto"/>
              <w:jc w:val="right"/>
              <w:rPr>
                <w:sz w:val="24"/>
                <w:szCs w:val="24"/>
              </w:rPr>
            </w:pPr>
            <w:r>
              <w:rPr>
                <w:rFonts w:ascii="Times New Roman" w:hAnsi="Times New Roman" w:cs="Times New Roman"/>
                <w:color w:val="000000"/>
                <w:sz w:val="24"/>
                <w:szCs w:val="24"/>
              </w:rPr>
              <w:t>30.08.2021 г.</w:t>
            </w:r>
          </w:p>
        </w:tc>
      </w:tr>
      <w:tr w:rsidR="00D215F6">
        <w:trPr>
          <w:trHeight w:hRule="exact" w:val="2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416"/>
        </w:trPr>
        <w:tc>
          <w:tcPr>
            <w:tcW w:w="10221" w:type="dxa"/>
            <w:gridSpan w:val="10"/>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15F6">
        <w:trPr>
          <w:trHeight w:hRule="exact" w:val="1135"/>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4834" w:type="dxa"/>
            <w:gridSpan w:val="5"/>
            <w:shd w:val="clear" w:color="000000" w:fill="FFFFFF"/>
            <w:tcMar>
              <w:left w:w="34" w:type="dxa"/>
              <w:right w:w="34" w:type="dxa"/>
            </w:tcMar>
          </w:tcPr>
          <w:p w:rsidR="00D215F6" w:rsidRDefault="00102BF3">
            <w:pPr>
              <w:spacing w:after="0" w:line="240" w:lineRule="auto"/>
              <w:jc w:val="center"/>
              <w:rPr>
                <w:sz w:val="32"/>
                <w:szCs w:val="32"/>
              </w:rPr>
            </w:pPr>
            <w:r>
              <w:rPr>
                <w:rFonts w:ascii="Times New Roman" w:hAnsi="Times New Roman" w:cs="Times New Roman"/>
                <w:color w:val="000000"/>
                <w:sz w:val="32"/>
                <w:szCs w:val="32"/>
              </w:rPr>
              <w:t>Государственная кадастровая оценка недвижимости</w:t>
            </w:r>
          </w:p>
          <w:p w:rsidR="00D215F6" w:rsidRDefault="00102BF3">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D215F6" w:rsidRDefault="00D215F6"/>
        </w:tc>
      </w:tr>
      <w:tr w:rsidR="00D215F6">
        <w:trPr>
          <w:trHeight w:hRule="exact" w:val="277"/>
        </w:trPr>
        <w:tc>
          <w:tcPr>
            <w:tcW w:w="10221" w:type="dxa"/>
            <w:gridSpan w:val="10"/>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15F6">
        <w:trPr>
          <w:trHeight w:hRule="exact" w:val="1389"/>
        </w:trPr>
        <w:tc>
          <w:tcPr>
            <w:tcW w:w="143" w:type="dxa"/>
          </w:tcPr>
          <w:p w:rsidR="00D215F6" w:rsidRDefault="00D215F6"/>
        </w:tc>
        <w:tc>
          <w:tcPr>
            <w:tcW w:w="285" w:type="dxa"/>
          </w:tcPr>
          <w:p w:rsidR="00D215F6" w:rsidRDefault="00D215F6"/>
        </w:tc>
        <w:tc>
          <w:tcPr>
            <w:tcW w:w="9795" w:type="dxa"/>
            <w:gridSpan w:val="8"/>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215F6" w:rsidRDefault="00102B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215F6" w:rsidRDefault="00102B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15F6">
        <w:trPr>
          <w:trHeight w:hRule="exact" w:val="13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833"/>
        </w:trPr>
        <w:tc>
          <w:tcPr>
            <w:tcW w:w="10221" w:type="dxa"/>
            <w:gridSpan w:val="10"/>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215F6">
        <w:trPr>
          <w:trHeight w:hRule="exact" w:val="416"/>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3984" w:type="dxa"/>
            <w:gridSpan w:val="5"/>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155"/>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15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215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БИЗНЕС-АНАЛИТИК</w:t>
            </w:r>
          </w:p>
        </w:tc>
      </w:tr>
      <w:tr w:rsidR="00D215F6">
        <w:trPr>
          <w:trHeight w:hRule="exact" w:val="124"/>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5118" w:type="dxa"/>
            <w:gridSpan w:val="7"/>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215F6">
        <w:trPr>
          <w:trHeight w:hRule="exact" w:val="577"/>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5118" w:type="dxa"/>
            <w:gridSpan w:val="3"/>
            <w:vMerge/>
            <w:shd w:val="clear" w:color="000000" w:fill="FFFFFF"/>
            <w:tcMar>
              <w:left w:w="34" w:type="dxa"/>
              <w:right w:w="34" w:type="dxa"/>
            </w:tcMar>
          </w:tcPr>
          <w:p w:rsidR="00D215F6" w:rsidRDefault="00D215F6"/>
        </w:tc>
      </w:tr>
      <w:tr w:rsidR="00D215F6">
        <w:trPr>
          <w:trHeight w:hRule="exact" w:val="1788"/>
        </w:trPr>
        <w:tc>
          <w:tcPr>
            <w:tcW w:w="143" w:type="dxa"/>
          </w:tcPr>
          <w:p w:rsidR="00D215F6" w:rsidRDefault="00D215F6"/>
        </w:tc>
        <w:tc>
          <w:tcPr>
            <w:tcW w:w="285" w:type="dxa"/>
          </w:tcPr>
          <w:p w:rsidR="00D215F6" w:rsidRDefault="00D215F6"/>
        </w:tc>
        <w:tc>
          <w:tcPr>
            <w:tcW w:w="710" w:type="dxa"/>
          </w:tcPr>
          <w:p w:rsidR="00D215F6" w:rsidRDefault="00D215F6"/>
        </w:tc>
        <w:tc>
          <w:tcPr>
            <w:tcW w:w="1419" w:type="dxa"/>
          </w:tcPr>
          <w:p w:rsidR="00D215F6" w:rsidRDefault="00D215F6"/>
        </w:tc>
        <w:tc>
          <w:tcPr>
            <w:tcW w:w="1419" w:type="dxa"/>
          </w:tcPr>
          <w:p w:rsidR="00D215F6" w:rsidRDefault="00D215F6"/>
        </w:tc>
        <w:tc>
          <w:tcPr>
            <w:tcW w:w="710" w:type="dxa"/>
          </w:tcPr>
          <w:p w:rsidR="00D215F6" w:rsidRDefault="00D215F6"/>
        </w:tc>
        <w:tc>
          <w:tcPr>
            <w:tcW w:w="426" w:type="dxa"/>
          </w:tcPr>
          <w:p w:rsidR="00D215F6" w:rsidRDefault="00D215F6"/>
        </w:tc>
        <w:tc>
          <w:tcPr>
            <w:tcW w:w="1277" w:type="dxa"/>
          </w:tcPr>
          <w:p w:rsidR="00D215F6" w:rsidRDefault="00D215F6"/>
        </w:tc>
        <w:tc>
          <w:tcPr>
            <w:tcW w:w="993" w:type="dxa"/>
          </w:tcPr>
          <w:p w:rsidR="00D215F6" w:rsidRDefault="00D215F6"/>
        </w:tc>
        <w:tc>
          <w:tcPr>
            <w:tcW w:w="2836" w:type="dxa"/>
          </w:tcPr>
          <w:p w:rsidR="00D215F6" w:rsidRDefault="00D215F6"/>
        </w:tc>
      </w:tr>
      <w:tr w:rsidR="00D215F6">
        <w:trPr>
          <w:trHeight w:hRule="exact" w:val="277"/>
        </w:trPr>
        <w:tc>
          <w:tcPr>
            <w:tcW w:w="143" w:type="dxa"/>
          </w:tcPr>
          <w:p w:rsidR="00D215F6" w:rsidRDefault="00D215F6"/>
        </w:tc>
        <w:tc>
          <w:tcPr>
            <w:tcW w:w="10079" w:type="dxa"/>
            <w:gridSpan w:val="9"/>
            <w:vMerge w:val="restart"/>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15F6">
        <w:trPr>
          <w:trHeight w:hRule="exact" w:val="138"/>
        </w:trPr>
        <w:tc>
          <w:tcPr>
            <w:tcW w:w="143" w:type="dxa"/>
          </w:tcPr>
          <w:p w:rsidR="00D215F6" w:rsidRDefault="00D215F6"/>
        </w:tc>
        <w:tc>
          <w:tcPr>
            <w:tcW w:w="10079" w:type="dxa"/>
            <w:gridSpan w:val="9"/>
            <w:vMerge/>
            <w:shd w:val="clear" w:color="000000" w:fill="FFFFFF"/>
            <w:tcMar>
              <w:left w:w="34" w:type="dxa"/>
              <w:right w:w="34" w:type="dxa"/>
            </w:tcMar>
          </w:tcPr>
          <w:p w:rsidR="00D215F6" w:rsidRDefault="00D215F6"/>
        </w:tc>
      </w:tr>
      <w:tr w:rsidR="00D215F6">
        <w:trPr>
          <w:trHeight w:hRule="exact" w:val="1666"/>
        </w:trPr>
        <w:tc>
          <w:tcPr>
            <w:tcW w:w="143" w:type="dxa"/>
          </w:tcPr>
          <w:p w:rsidR="00D215F6" w:rsidRDefault="00D215F6"/>
        </w:tc>
        <w:tc>
          <w:tcPr>
            <w:tcW w:w="10079" w:type="dxa"/>
            <w:gridSpan w:val="9"/>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15F6" w:rsidRDefault="00D215F6">
            <w:pPr>
              <w:spacing w:after="0" w:line="240" w:lineRule="auto"/>
              <w:jc w:val="center"/>
              <w:rPr>
                <w:sz w:val="24"/>
                <w:szCs w:val="24"/>
              </w:rPr>
            </w:pPr>
          </w:p>
          <w:p w:rsidR="00D215F6" w:rsidRDefault="00102BF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15F6" w:rsidRDefault="00D215F6">
            <w:pPr>
              <w:spacing w:after="0" w:line="240" w:lineRule="auto"/>
              <w:jc w:val="center"/>
              <w:rPr>
                <w:sz w:val="24"/>
                <w:szCs w:val="24"/>
              </w:rPr>
            </w:pPr>
          </w:p>
          <w:p w:rsidR="00D215F6" w:rsidRDefault="00102BF3">
            <w:pPr>
              <w:spacing w:after="0" w:line="240" w:lineRule="auto"/>
              <w:jc w:val="center"/>
              <w:rPr>
                <w:sz w:val="24"/>
                <w:szCs w:val="24"/>
              </w:rPr>
            </w:pPr>
            <w:r>
              <w:rPr>
                <w:rFonts w:ascii="Times New Roman" w:hAnsi="Times New Roman" w:cs="Times New Roman"/>
                <w:color w:val="000000"/>
                <w:sz w:val="24"/>
                <w:szCs w:val="24"/>
              </w:rPr>
              <w:t>Омск, 2021</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15F6">
        <w:trPr>
          <w:trHeight w:hRule="exact" w:val="2222"/>
        </w:trPr>
        <w:tc>
          <w:tcPr>
            <w:tcW w:w="10788"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15F6" w:rsidRDefault="00D215F6">
            <w:pPr>
              <w:spacing w:after="0" w:line="240" w:lineRule="auto"/>
              <w:rPr>
                <w:sz w:val="24"/>
                <w:szCs w:val="24"/>
              </w:rPr>
            </w:pPr>
          </w:p>
          <w:p w:rsidR="00D215F6" w:rsidRDefault="00102BF3">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215F6" w:rsidRDefault="00D215F6">
            <w:pPr>
              <w:spacing w:after="0" w:line="240" w:lineRule="auto"/>
              <w:rPr>
                <w:sz w:val="24"/>
                <w:szCs w:val="24"/>
              </w:rPr>
            </w:pPr>
          </w:p>
          <w:p w:rsidR="00D215F6" w:rsidRDefault="00102B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15F6" w:rsidRDefault="00102BF3">
            <w:pPr>
              <w:spacing w:after="0" w:line="240" w:lineRule="auto"/>
              <w:rPr>
                <w:sz w:val="24"/>
                <w:szCs w:val="24"/>
              </w:rPr>
            </w:pPr>
            <w:r>
              <w:rPr>
                <w:rFonts w:ascii="Times New Roman" w:hAnsi="Times New Roman" w:cs="Times New Roman"/>
                <w:color w:val="000000"/>
                <w:sz w:val="24"/>
                <w:szCs w:val="24"/>
              </w:rPr>
              <w:t>Протокол от 30.08.2021 г.  №1</w:t>
            </w:r>
          </w:p>
        </w:tc>
      </w:tr>
      <w:tr w:rsidR="00D215F6">
        <w:trPr>
          <w:trHeight w:hRule="exact" w:val="277"/>
        </w:trPr>
        <w:tc>
          <w:tcPr>
            <w:tcW w:w="10788"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277"/>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15F6">
        <w:trPr>
          <w:trHeight w:hRule="exact" w:val="555"/>
        </w:trPr>
        <w:tc>
          <w:tcPr>
            <w:tcW w:w="9640" w:type="dxa"/>
          </w:tcPr>
          <w:p w:rsidR="00D215F6" w:rsidRDefault="00D215F6"/>
        </w:tc>
      </w:tr>
      <w:tr w:rsidR="00D215F6">
        <w:trPr>
          <w:trHeight w:hRule="exact" w:val="8751"/>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15F6" w:rsidRDefault="00102B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15F6" w:rsidRDefault="00102B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15F6" w:rsidRDefault="00102B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15F6" w:rsidRDefault="00102B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15F6" w:rsidRDefault="00102B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15F6" w:rsidRDefault="00102B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15F6" w:rsidRDefault="00102B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15F6" w:rsidRDefault="00102B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15F6" w:rsidRDefault="00102B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15F6" w:rsidRDefault="00102B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15F6" w:rsidRDefault="00102B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277"/>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15F6">
        <w:trPr>
          <w:trHeight w:hRule="exact" w:val="14619"/>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15F6" w:rsidRDefault="00102B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215F6" w:rsidRDefault="00102B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15F6" w:rsidRDefault="00102B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15F6" w:rsidRDefault="00102B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D215F6" w:rsidRDefault="00102B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2021/2022 учебного года:</w:t>
            </w:r>
          </w:p>
          <w:p w:rsidR="00D215F6" w:rsidRDefault="00102B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15F6">
        <w:trPr>
          <w:trHeight w:hRule="exact" w:val="138"/>
        </w:trPr>
        <w:tc>
          <w:tcPr>
            <w:tcW w:w="9640" w:type="dxa"/>
          </w:tcPr>
          <w:p w:rsidR="00D215F6" w:rsidRDefault="00D215F6"/>
        </w:tc>
      </w:tr>
      <w:tr w:rsidR="00D215F6">
        <w:trPr>
          <w:trHeight w:hRule="exact" w:val="35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«Государственная</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112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lastRenderedPageBreak/>
              <w:t>кадастровая оценка недвижимости».</w:t>
            </w:r>
          </w:p>
          <w:p w:rsidR="00D215F6" w:rsidRDefault="00102B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15F6">
        <w:trPr>
          <w:trHeight w:hRule="exact" w:val="138"/>
        </w:trPr>
        <w:tc>
          <w:tcPr>
            <w:tcW w:w="9640" w:type="dxa"/>
          </w:tcPr>
          <w:p w:rsidR="00D215F6" w:rsidRDefault="00D215F6"/>
        </w:tc>
      </w:tr>
      <w:tr w:rsidR="00D215F6">
        <w:trPr>
          <w:trHeight w:hRule="exact" w:val="3530"/>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15F6" w:rsidRDefault="00102B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Код компетенции: ПК-2</w:t>
            </w:r>
          </w:p>
          <w:p w:rsidR="00D215F6" w:rsidRDefault="00102BF3">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D215F6">
        <w:trPr>
          <w:trHeight w:hRule="exact" w:val="585"/>
        </w:trPr>
        <w:tc>
          <w:tcPr>
            <w:tcW w:w="9654" w:type="dxa"/>
            <w:shd w:val="clear" w:color="000000" w:fill="FFFFFF"/>
            <w:tcMar>
              <w:left w:w="34" w:type="dxa"/>
              <w:right w:w="34" w:type="dxa"/>
            </w:tcMar>
          </w:tcPr>
          <w:p w:rsidR="00D215F6" w:rsidRDefault="00D215F6">
            <w:pPr>
              <w:spacing w:after="0" w:line="240" w:lineRule="auto"/>
              <w:rPr>
                <w:sz w:val="24"/>
                <w:szCs w:val="24"/>
              </w:rPr>
            </w:pPr>
          </w:p>
          <w:p w:rsidR="00D215F6" w:rsidRDefault="00102B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15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D21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D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D215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D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D21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D21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D215F6">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215F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lastRenderedPageBreak/>
              <w:t>недвижимого имущества</w:t>
            </w:r>
          </w:p>
        </w:tc>
      </w:tr>
      <w:tr w:rsidR="00D215F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ПК-2.21 владеть навыками подбора объектов - аналогов недвижимого имущества</w:t>
            </w:r>
          </w:p>
        </w:tc>
      </w:tr>
      <w:tr w:rsidR="00D215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D215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D215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D215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D215F6">
        <w:trPr>
          <w:trHeight w:hRule="exact" w:val="416"/>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304"/>
        </w:trPr>
        <w:tc>
          <w:tcPr>
            <w:tcW w:w="9654" w:type="dxa"/>
            <w:gridSpan w:val="4"/>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15F6">
        <w:trPr>
          <w:trHeight w:hRule="exact" w:val="1907"/>
        </w:trPr>
        <w:tc>
          <w:tcPr>
            <w:tcW w:w="9654" w:type="dxa"/>
            <w:gridSpan w:val="4"/>
            <w:shd w:val="clear" w:color="000000" w:fill="FFFFFF"/>
            <w:tcMar>
              <w:left w:w="34" w:type="dxa"/>
              <w:right w:w="34" w:type="dxa"/>
            </w:tcMar>
          </w:tcPr>
          <w:p w:rsidR="00D215F6" w:rsidRDefault="00D215F6">
            <w:pPr>
              <w:spacing w:after="0" w:line="240" w:lineRule="auto"/>
              <w:jc w:val="both"/>
              <w:rPr>
                <w:sz w:val="24"/>
                <w:szCs w:val="24"/>
              </w:rPr>
            </w:pPr>
          </w:p>
          <w:p w:rsidR="00D215F6" w:rsidRDefault="00102BF3">
            <w:pPr>
              <w:spacing w:after="0" w:line="240" w:lineRule="auto"/>
              <w:jc w:val="both"/>
              <w:rPr>
                <w:sz w:val="24"/>
                <w:szCs w:val="24"/>
              </w:rPr>
            </w:pPr>
            <w:r>
              <w:rPr>
                <w:rFonts w:ascii="Times New Roman" w:hAnsi="Times New Roman" w:cs="Times New Roman"/>
                <w:color w:val="000000"/>
                <w:sz w:val="24"/>
                <w:szCs w:val="24"/>
              </w:rPr>
              <w:t>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D215F6">
        <w:trPr>
          <w:trHeight w:hRule="exact" w:val="138"/>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Коды</w:t>
            </w:r>
          </w:p>
          <w:p w:rsidR="00D215F6" w:rsidRDefault="00102BF3">
            <w:pPr>
              <w:spacing w:after="0" w:line="240" w:lineRule="auto"/>
              <w:jc w:val="center"/>
              <w:rPr>
                <w:sz w:val="24"/>
                <w:szCs w:val="24"/>
              </w:rPr>
            </w:pPr>
            <w:r>
              <w:rPr>
                <w:rFonts w:ascii="Times New Roman" w:hAnsi="Times New Roman" w:cs="Times New Roman"/>
                <w:color w:val="000000"/>
                <w:sz w:val="24"/>
                <w:szCs w:val="24"/>
              </w:rPr>
              <w:t>форми-</w:t>
            </w:r>
          </w:p>
          <w:p w:rsidR="00D215F6" w:rsidRDefault="00102BF3">
            <w:pPr>
              <w:spacing w:after="0" w:line="240" w:lineRule="auto"/>
              <w:jc w:val="center"/>
              <w:rPr>
                <w:sz w:val="24"/>
                <w:szCs w:val="24"/>
              </w:rPr>
            </w:pPr>
            <w:r>
              <w:rPr>
                <w:rFonts w:ascii="Times New Roman" w:hAnsi="Times New Roman" w:cs="Times New Roman"/>
                <w:color w:val="000000"/>
                <w:sz w:val="24"/>
                <w:szCs w:val="24"/>
              </w:rPr>
              <w:t>руемых</w:t>
            </w:r>
          </w:p>
          <w:p w:rsidR="00D215F6" w:rsidRDefault="00102BF3">
            <w:pPr>
              <w:spacing w:after="0" w:line="240" w:lineRule="auto"/>
              <w:jc w:val="center"/>
              <w:rPr>
                <w:sz w:val="24"/>
                <w:szCs w:val="24"/>
              </w:rPr>
            </w:pPr>
            <w:r>
              <w:rPr>
                <w:rFonts w:ascii="Times New Roman" w:hAnsi="Times New Roman" w:cs="Times New Roman"/>
                <w:color w:val="000000"/>
                <w:sz w:val="24"/>
                <w:szCs w:val="24"/>
              </w:rPr>
              <w:t>компе-</w:t>
            </w:r>
          </w:p>
          <w:p w:rsidR="00D215F6" w:rsidRDefault="00102BF3">
            <w:pPr>
              <w:spacing w:after="0" w:line="240" w:lineRule="auto"/>
              <w:jc w:val="center"/>
              <w:rPr>
                <w:sz w:val="24"/>
                <w:szCs w:val="24"/>
              </w:rPr>
            </w:pPr>
            <w:r>
              <w:rPr>
                <w:rFonts w:ascii="Times New Roman" w:hAnsi="Times New Roman" w:cs="Times New Roman"/>
                <w:color w:val="000000"/>
                <w:sz w:val="24"/>
                <w:szCs w:val="24"/>
              </w:rPr>
              <w:t>тенций</w:t>
            </w:r>
          </w:p>
        </w:tc>
      </w:tr>
      <w:tr w:rsidR="00D215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D215F6"/>
        </w:tc>
      </w:tr>
      <w:tr w:rsidR="00D215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D215F6"/>
        </w:tc>
      </w:tr>
      <w:tr w:rsidR="00D215F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D215F6" w:rsidRDefault="00102BF3">
            <w:pPr>
              <w:spacing w:after="0" w:line="240" w:lineRule="auto"/>
              <w:jc w:val="center"/>
            </w:pPr>
            <w:r>
              <w:rPr>
                <w:rFonts w:ascii="Times New Roman" w:hAnsi="Times New Roman" w:cs="Times New Roman"/>
                <w:color w:val="000000"/>
              </w:rPr>
              <w:t>Ценообразование в оценочной деятельности</w:t>
            </w:r>
          </w:p>
          <w:p w:rsidR="00D215F6" w:rsidRDefault="00102BF3">
            <w:pPr>
              <w:spacing w:after="0" w:line="240" w:lineRule="auto"/>
              <w:jc w:val="center"/>
            </w:pPr>
            <w:r>
              <w:rPr>
                <w:rFonts w:ascii="Times New Roman" w:hAnsi="Times New Roman" w:cs="Times New Roman"/>
                <w:color w:val="000000"/>
              </w:rPr>
              <w:t>Оценка рыночной стоимости организации</w:t>
            </w:r>
          </w:p>
          <w:p w:rsidR="00D215F6" w:rsidRDefault="00102BF3">
            <w:pPr>
              <w:spacing w:after="0" w:line="240" w:lineRule="auto"/>
              <w:jc w:val="center"/>
            </w:pPr>
            <w:r>
              <w:rPr>
                <w:rFonts w:ascii="Times New Roman" w:hAnsi="Times New Roman" w:cs="Times New Roman"/>
                <w:color w:val="000000"/>
              </w:rPr>
              <w:t>Оценка машин, оборудования и транспортных средств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ПК-2</w:t>
            </w:r>
          </w:p>
        </w:tc>
      </w:tr>
      <w:tr w:rsidR="00D215F6">
        <w:trPr>
          <w:trHeight w:hRule="exact" w:val="138"/>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1125"/>
        </w:trPr>
        <w:tc>
          <w:tcPr>
            <w:tcW w:w="9654" w:type="dxa"/>
            <w:gridSpan w:val="4"/>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15F6">
        <w:trPr>
          <w:trHeight w:hRule="exact" w:val="585"/>
        </w:trPr>
        <w:tc>
          <w:tcPr>
            <w:tcW w:w="9654" w:type="dxa"/>
            <w:gridSpan w:val="4"/>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15F6" w:rsidRDefault="00102BF3">
            <w:pPr>
              <w:spacing w:after="0" w:line="240" w:lineRule="auto"/>
              <w:jc w:val="center"/>
              <w:rPr>
                <w:sz w:val="24"/>
                <w:szCs w:val="24"/>
              </w:rPr>
            </w:pPr>
            <w:r>
              <w:rPr>
                <w:rFonts w:ascii="Times New Roman" w:hAnsi="Times New Roman" w:cs="Times New Roman"/>
                <w:color w:val="000000"/>
                <w:sz w:val="24"/>
                <w:szCs w:val="24"/>
              </w:rPr>
              <w:t>Из них:</w:t>
            </w:r>
          </w:p>
        </w:tc>
      </w:tr>
      <w:tr w:rsidR="00D215F6">
        <w:trPr>
          <w:trHeight w:hRule="exact" w:val="138"/>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54</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18</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0</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0</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36</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54</w:t>
            </w:r>
          </w:p>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0</w:t>
            </w:r>
          </w:p>
        </w:tc>
      </w:tr>
      <w:tr w:rsidR="00D215F6">
        <w:trPr>
          <w:trHeight w:hRule="exact" w:val="416"/>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зачеты 6</w:t>
            </w:r>
          </w:p>
        </w:tc>
      </w:tr>
      <w:tr w:rsidR="00D215F6">
        <w:trPr>
          <w:trHeight w:hRule="exact" w:val="277"/>
        </w:trPr>
        <w:tc>
          <w:tcPr>
            <w:tcW w:w="3970" w:type="dxa"/>
          </w:tcPr>
          <w:p w:rsidR="00D215F6" w:rsidRDefault="00D215F6"/>
        </w:tc>
        <w:tc>
          <w:tcPr>
            <w:tcW w:w="3828" w:type="dxa"/>
          </w:tcPr>
          <w:p w:rsidR="00D215F6" w:rsidRDefault="00D215F6"/>
        </w:tc>
        <w:tc>
          <w:tcPr>
            <w:tcW w:w="852" w:type="dxa"/>
          </w:tcPr>
          <w:p w:rsidR="00D215F6" w:rsidRDefault="00D215F6"/>
        </w:tc>
        <w:tc>
          <w:tcPr>
            <w:tcW w:w="993" w:type="dxa"/>
          </w:tcPr>
          <w:p w:rsidR="00D215F6" w:rsidRDefault="00D215F6"/>
        </w:tc>
      </w:tr>
      <w:tr w:rsidR="00D215F6">
        <w:trPr>
          <w:trHeight w:hRule="exact" w:val="1304"/>
        </w:trPr>
        <w:tc>
          <w:tcPr>
            <w:tcW w:w="9654" w:type="dxa"/>
            <w:gridSpan w:val="4"/>
            <w:shd w:val="clear" w:color="000000" w:fill="FFFFFF"/>
            <w:tcMar>
              <w:left w:w="34" w:type="dxa"/>
              <w:right w:w="34" w:type="dxa"/>
            </w:tcMar>
          </w:tcPr>
          <w:p w:rsidR="00D215F6" w:rsidRDefault="00D215F6">
            <w:pPr>
              <w:spacing w:after="0" w:line="240" w:lineRule="auto"/>
              <w:jc w:val="center"/>
              <w:rPr>
                <w:sz w:val="24"/>
                <w:szCs w:val="24"/>
              </w:rPr>
            </w:pPr>
          </w:p>
          <w:p w:rsidR="00D215F6" w:rsidRDefault="00102B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15F6">
        <w:trPr>
          <w:trHeight w:hRule="exact" w:val="585"/>
        </w:trPr>
        <w:tc>
          <w:tcPr>
            <w:tcW w:w="9654" w:type="dxa"/>
            <w:gridSpan w:val="4"/>
            <w:shd w:val="clear" w:color="000000" w:fill="FFFFFF"/>
            <w:tcMar>
              <w:left w:w="34" w:type="dxa"/>
              <w:right w:w="34" w:type="dxa"/>
            </w:tcMar>
          </w:tcPr>
          <w:p w:rsidR="00D215F6" w:rsidRDefault="00D215F6">
            <w:pPr>
              <w:spacing w:after="0" w:line="240" w:lineRule="auto"/>
              <w:jc w:val="center"/>
              <w:rPr>
                <w:sz w:val="24"/>
                <w:szCs w:val="24"/>
              </w:rPr>
            </w:pPr>
          </w:p>
          <w:p w:rsidR="00D215F6" w:rsidRDefault="00102B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15F6">
        <w:trPr>
          <w:trHeight w:hRule="exact" w:val="416"/>
        </w:trPr>
        <w:tc>
          <w:tcPr>
            <w:tcW w:w="5671" w:type="dxa"/>
          </w:tcPr>
          <w:p w:rsidR="00D215F6" w:rsidRDefault="00D215F6"/>
        </w:tc>
        <w:tc>
          <w:tcPr>
            <w:tcW w:w="1702" w:type="dxa"/>
          </w:tcPr>
          <w:p w:rsidR="00D215F6" w:rsidRDefault="00D215F6"/>
        </w:tc>
        <w:tc>
          <w:tcPr>
            <w:tcW w:w="1135" w:type="dxa"/>
          </w:tcPr>
          <w:p w:rsidR="00D215F6" w:rsidRDefault="00D215F6"/>
        </w:tc>
        <w:tc>
          <w:tcPr>
            <w:tcW w:w="1135" w:type="dxa"/>
          </w:tcPr>
          <w:p w:rsidR="00D215F6" w:rsidRDefault="00D215F6"/>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15F6" w:rsidRDefault="00102BF3">
            <w:pPr>
              <w:spacing w:after="0" w:line="240" w:lineRule="auto"/>
              <w:jc w:val="center"/>
              <w:rPr>
                <w:sz w:val="24"/>
                <w:szCs w:val="24"/>
              </w:rPr>
            </w:pPr>
            <w:r>
              <w:rPr>
                <w:rFonts w:ascii="Times New Roman" w:hAnsi="Times New Roman" w:cs="Times New Roman"/>
                <w:color w:val="000000"/>
                <w:sz w:val="24"/>
                <w:szCs w:val="24"/>
              </w:rPr>
              <w:t>Часов</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Тема 1.  Общие положения о кадастровой оценки</w:t>
            </w:r>
          </w:p>
          <w:p w:rsidR="00D215F6" w:rsidRDefault="00102BF3">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Теория кадастровой оценки</w:t>
            </w:r>
          </w:p>
          <w:p w:rsidR="00D215F6" w:rsidRDefault="00102BF3">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D215F6" w:rsidRDefault="00102BF3">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10</w:t>
            </w:r>
          </w:p>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Тема 2. Нормативно - правовая база кадастровой</w:t>
            </w:r>
          </w:p>
          <w:p w:rsidR="00D215F6" w:rsidRDefault="00102BF3">
            <w:pPr>
              <w:spacing w:after="0" w:line="240" w:lineRule="auto"/>
              <w:rPr>
                <w:sz w:val="24"/>
                <w:szCs w:val="24"/>
              </w:rPr>
            </w:pPr>
            <w:r>
              <w:rPr>
                <w:rFonts w:ascii="Times New Roman" w:hAnsi="Times New Roman" w:cs="Times New Roman"/>
                <w:b/>
                <w:color w:val="000000"/>
                <w:sz w:val="24"/>
                <w:szCs w:val="24"/>
              </w:rPr>
              <w:t>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r>
      <w:tr w:rsidR="00D215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Нормативные документы, регламентирующие кадастровую</w:t>
            </w:r>
          </w:p>
          <w:p w:rsidR="00D215F6" w:rsidRDefault="00102BF3">
            <w:pPr>
              <w:spacing w:after="0" w:line="240" w:lineRule="auto"/>
              <w:rPr>
                <w:sz w:val="24"/>
                <w:szCs w:val="24"/>
              </w:rPr>
            </w:pPr>
            <w:r>
              <w:rPr>
                <w:rFonts w:ascii="Times New Roman" w:hAnsi="Times New Roman" w:cs="Times New Roman"/>
                <w:color w:val="000000"/>
                <w:sz w:val="24"/>
                <w:szCs w:val="24"/>
              </w:rPr>
              <w:t>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D215F6" w:rsidRDefault="00102BF3">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11</w:t>
            </w:r>
          </w:p>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11</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Применение методов государственного кадастрового учета для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Порядок осуществления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Тема 4. Технология</w:t>
            </w:r>
          </w:p>
          <w:p w:rsidR="00D215F6" w:rsidRDefault="00102BF3">
            <w:pPr>
              <w:spacing w:after="0" w:line="240" w:lineRule="auto"/>
              <w:rPr>
                <w:sz w:val="24"/>
                <w:szCs w:val="24"/>
              </w:rPr>
            </w:pPr>
            <w:r>
              <w:rPr>
                <w:rFonts w:ascii="Times New Roman" w:hAnsi="Times New Roman" w:cs="Times New Roman"/>
                <w:b/>
                <w:color w:val="000000"/>
                <w:sz w:val="24"/>
                <w:szCs w:val="24"/>
              </w:rPr>
              <w:t>государственной кадастровой оценки объектов</w:t>
            </w:r>
          </w:p>
          <w:p w:rsidR="00D215F6" w:rsidRDefault="00102BF3">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11</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Кадастровая отдельных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Тема 5. Кадастровая оценка и инвентаризация</w:t>
            </w:r>
          </w:p>
          <w:p w:rsidR="00D215F6" w:rsidRDefault="00102BF3">
            <w:pPr>
              <w:spacing w:after="0" w:line="240" w:lineRule="auto"/>
              <w:rPr>
                <w:sz w:val="24"/>
                <w:szCs w:val="24"/>
              </w:rPr>
            </w:pPr>
            <w:r>
              <w:rPr>
                <w:rFonts w:ascii="Times New Roman" w:hAnsi="Times New Roman" w:cs="Times New Roman"/>
                <w:b/>
                <w:color w:val="000000"/>
                <w:sz w:val="24"/>
                <w:szCs w:val="24"/>
              </w:rPr>
              <w:t>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15F6" w:rsidRDefault="00D215F6"/>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Теория инвентаризации</w:t>
            </w:r>
          </w:p>
          <w:p w:rsidR="00D215F6" w:rsidRDefault="00102BF3">
            <w:pPr>
              <w:spacing w:after="0" w:line="240" w:lineRule="auto"/>
              <w:rPr>
                <w:sz w:val="24"/>
                <w:szCs w:val="24"/>
              </w:rPr>
            </w:pPr>
            <w:r>
              <w:rPr>
                <w:rFonts w:ascii="Times New Roman" w:hAnsi="Times New Roman" w:cs="Times New Roman"/>
                <w:color w:val="000000"/>
                <w:sz w:val="24"/>
                <w:szCs w:val="24"/>
              </w:rPr>
              <w:t>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2</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11</w:t>
            </w:r>
          </w:p>
        </w:tc>
      </w:tr>
      <w:tr w:rsidR="00D2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4</w:t>
            </w:r>
          </w:p>
        </w:tc>
      </w:tr>
      <w:tr w:rsidR="00D215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D2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color w:val="000000"/>
                <w:sz w:val="24"/>
                <w:szCs w:val="24"/>
              </w:rPr>
              <w:t>108</w:t>
            </w:r>
          </w:p>
        </w:tc>
      </w:tr>
      <w:tr w:rsidR="00D215F6">
        <w:trPr>
          <w:trHeight w:hRule="exact" w:val="357"/>
        </w:trPr>
        <w:tc>
          <w:tcPr>
            <w:tcW w:w="9654" w:type="dxa"/>
            <w:gridSpan w:val="4"/>
            <w:shd w:val="clear" w:color="000000" w:fill="FFFFFF"/>
            <w:tcMar>
              <w:left w:w="34" w:type="dxa"/>
              <w:right w:w="34" w:type="dxa"/>
            </w:tcMar>
          </w:tcPr>
          <w:p w:rsidR="00D215F6" w:rsidRDefault="00D215F6"/>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15391"/>
        </w:trPr>
        <w:tc>
          <w:tcPr>
            <w:tcW w:w="9654" w:type="dxa"/>
            <w:shd w:val="clear" w:color="000000" w:fill="FFFFFF"/>
            <w:tcMar>
              <w:left w:w="34" w:type="dxa"/>
              <w:right w:w="34" w:type="dxa"/>
            </w:tcMar>
          </w:tcPr>
          <w:p w:rsidR="00D215F6" w:rsidRDefault="00102BF3">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D215F6" w:rsidRDefault="00102B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15F6" w:rsidRDefault="00102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15F6" w:rsidRDefault="00102B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15F6" w:rsidRDefault="00102B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15F6" w:rsidRDefault="00102B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15F6" w:rsidRDefault="00102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15F6" w:rsidRDefault="00102B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15F6" w:rsidRDefault="00102B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2268"/>
        </w:trPr>
        <w:tc>
          <w:tcPr>
            <w:tcW w:w="9654" w:type="dxa"/>
            <w:shd w:val="clear" w:color="000000" w:fill="FFFFFF"/>
            <w:tcMar>
              <w:left w:w="34" w:type="dxa"/>
              <w:right w:w="34" w:type="dxa"/>
            </w:tcMar>
          </w:tcPr>
          <w:p w:rsidR="00D215F6" w:rsidRDefault="00102BF3">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15F6">
        <w:trPr>
          <w:trHeight w:hRule="exact" w:val="585"/>
        </w:trPr>
        <w:tc>
          <w:tcPr>
            <w:tcW w:w="9654" w:type="dxa"/>
            <w:shd w:val="clear" w:color="000000" w:fill="FFFFFF"/>
            <w:tcMar>
              <w:left w:w="34" w:type="dxa"/>
              <w:right w:w="34" w:type="dxa"/>
            </w:tcMar>
          </w:tcPr>
          <w:p w:rsidR="00D215F6" w:rsidRDefault="00D215F6">
            <w:pPr>
              <w:spacing w:after="0" w:line="240" w:lineRule="auto"/>
              <w:rPr>
                <w:sz w:val="24"/>
                <w:szCs w:val="24"/>
              </w:rPr>
            </w:pPr>
          </w:p>
          <w:p w:rsidR="00D215F6" w:rsidRDefault="00102B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15F6">
        <w:trPr>
          <w:trHeight w:hRule="exact" w:val="277"/>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15F6">
        <w:trPr>
          <w:trHeight w:hRule="exact" w:val="26"/>
        </w:trPr>
        <w:tc>
          <w:tcPr>
            <w:tcW w:w="9654" w:type="dxa"/>
            <w:vMerge w:val="restart"/>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Теория кадастровой оценки</w:t>
            </w:r>
          </w:p>
          <w:p w:rsidR="00D215F6" w:rsidRDefault="00102BF3">
            <w:pPr>
              <w:spacing w:after="0" w:line="240" w:lineRule="auto"/>
              <w:jc w:val="center"/>
              <w:rPr>
                <w:sz w:val="24"/>
                <w:szCs w:val="24"/>
              </w:rPr>
            </w:pPr>
            <w:r>
              <w:rPr>
                <w:rFonts w:ascii="Times New Roman" w:hAnsi="Times New Roman" w:cs="Times New Roman"/>
                <w:b/>
                <w:color w:val="000000"/>
                <w:sz w:val="24"/>
                <w:szCs w:val="24"/>
              </w:rPr>
              <w:t>недвижимости</w:t>
            </w:r>
          </w:p>
        </w:tc>
      </w:tr>
      <w:tr w:rsidR="00D215F6">
        <w:trPr>
          <w:trHeight w:hRule="exact" w:val="558"/>
        </w:trPr>
        <w:tc>
          <w:tcPr>
            <w:tcW w:w="9654" w:type="dxa"/>
            <w:vMerge/>
            <w:shd w:val="clear" w:color="000000" w:fill="FFFFFF"/>
            <w:tcMar>
              <w:left w:w="34" w:type="dxa"/>
              <w:right w:w="34" w:type="dxa"/>
            </w:tcMar>
          </w:tcPr>
          <w:p w:rsidR="00D215F6" w:rsidRDefault="00D215F6"/>
        </w:tc>
      </w:tr>
      <w:tr w:rsidR="00D215F6">
        <w:trPr>
          <w:trHeight w:hRule="exact" w:val="1637"/>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Введение в дисциплину. Материалы кадастровой оценки. Государственный 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rsidR="00D215F6" w:rsidRDefault="00102BF3">
            <w:pPr>
              <w:spacing w:after="0" w:line="240" w:lineRule="auto"/>
              <w:jc w:val="both"/>
              <w:rPr>
                <w:sz w:val="24"/>
                <w:szCs w:val="24"/>
              </w:rPr>
            </w:pPr>
            <w:r>
              <w:rPr>
                <w:rFonts w:ascii="Times New Roman" w:hAnsi="Times New Roman" w:cs="Times New Roman"/>
                <w:color w:val="000000"/>
                <w:sz w:val="24"/>
                <w:szCs w:val="24"/>
              </w:rPr>
              <w:t>Цель и задачи кадастровой недвижимости. Основные направления использования результатов кадастровой оценки.</w:t>
            </w:r>
          </w:p>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Нормативные документы, регламентирующие кадастровую</w:t>
            </w:r>
          </w:p>
          <w:p w:rsidR="00D215F6" w:rsidRDefault="00102BF3">
            <w:pPr>
              <w:spacing w:after="0" w:line="240" w:lineRule="auto"/>
              <w:jc w:val="center"/>
              <w:rPr>
                <w:sz w:val="24"/>
                <w:szCs w:val="24"/>
              </w:rPr>
            </w:pPr>
            <w:r>
              <w:rPr>
                <w:rFonts w:ascii="Times New Roman" w:hAnsi="Times New Roman" w:cs="Times New Roman"/>
                <w:b/>
                <w:color w:val="000000"/>
                <w:sz w:val="24"/>
                <w:szCs w:val="24"/>
              </w:rPr>
              <w:t>оценки объектов недвижимости</w:t>
            </w:r>
          </w:p>
        </w:tc>
      </w:tr>
      <w:tr w:rsidR="00D215F6">
        <w:trPr>
          <w:trHeight w:hRule="exact" w:val="1366"/>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rsidR="00D215F6" w:rsidRDefault="00102BF3">
            <w:pPr>
              <w:spacing w:after="0" w:line="240" w:lineRule="auto"/>
              <w:jc w:val="both"/>
              <w:rPr>
                <w:sz w:val="24"/>
                <w:szCs w:val="24"/>
              </w:rPr>
            </w:pPr>
            <w:r>
              <w:rPr>
                <w:rFonts w:ascii="Times New Roman" w:hAnsi="Times New Roman" w:cs="Times New Roman"/>
                <w:color w:val="000000"/>
                <w:sz w:val="24"/>
                <w:szCs w:val="24"/>
              </w:rPr>
              <w:t>нормативные  Минэкономразвития РФ, регламентирующие проведение кадастровой оценки использование ее результатов.</w:t>
            </w:r>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Теория государственного кадастрового учета</w:t>
            </w:r>
          </w:p>
        </w:tc>
      </w:tr>
      <w:tr w:rsidR="00D215F6">
        <w:trPr>
          <w:trHeight w:hRule="exact" w:val="1096"/>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Основы технологии государственной кадастровой оценки объектов недвижимости</w:t>
            </w:r>
          </w:p>
        </w:tc>
      </w:tr>
      <w:tr w:rsidR="00D215F6">
        <w:trPr>
          <w:trHeight w:hRule="exact" w:val="3530"/>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rsidR="00D215F6" w:rsidRDefault="00102BF3">
            <w:pPr>
              <w:spacing w:after="0" w:line="240" w:lineRule="auto"/>
              <w:jc w:val="both"/>
              <w:rPr>
                <w:sz w:val="24"/>
                <w:szCs w:val="24"/>
              </w:rPr>
            </w:pPr>
            <w:r>
              <w:rPr>
                <w:rFonts w:ascii="Times New Roman" w:hAnsi="Times New Roman" w:cs="Times New Roman"/>
                <w:color w:val="000000"/>
                <w:sz w:val="24"/>
                <w:szCs w:val="24"/>
              </w:rPr>
              <w:t>перечня объектов недвижимости, подлежащих</w:t>
            </w:r>
          </w:p>
          <w:p w:rsidR="00D215F6" w:rsidRDefault="00102BF3">
            <w:pPr>
              <w:spacing w:after="0" w:line="240" w:lineRule="auto"/>
              <w:jc w:val="both"/>
              <w:rPr>
                <w:sz w:val="24"/>
                <w:szCs w:val="24"/>
              </w:rPr>
            </w:pPr>
            <w:r>
              <w:rPr>
                <w:rFonts w:ascii="Times New Roman" w:hAnsi="Times New Roman" w:cs="Times New Roman"/>
                <w:color w:val="000000"/>
                <w:sz w:val="24"/>
                <w:szCs w:val="24"/>
              </w:rPr>
              <w:t>государственной кадастровой оценке.</w:t>
            </w:r>
          </w:p>
          <w:p w:rsidR="00D215F6" w:rsidRDefault="00102BF3">
            <w:pPr>
              <w:spacing w:after="0" w:line="240" w:lineRule="auto"/>
              <w:jc w:val="both"/>
              <w:rPr>
                <w:sz w:val="24"/>
                <w:szCs w:val="24"/>
              </w:rPr>
            </w:pPr>
            <w:r>
              <w:rPr>
                <w:rFonts w:ascii="Times New Roman" w:hAnsi="Times New Roman" w:cs="Times New Roman"/>
                <w:color w:val="000000"/>
                <w:sz w:val="24"/>
                <w:szCs w:val="24"/>
              </w:rPr>
              <w:t>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rsidR="00D215F6" w:rsidRDefault="00102BF3">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населенных пунктов. Кадастровая оценка земель сельскохозяйственного назначения.</w:t>
            </w:r>
          </w:p>
          <w:p w:rsidR="00D215F6" w:rsidRDefault="00102BF3">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других категорий.</w:t>
            </w:r>
          </w:p>
          <w:p w:rsidR="00D215F6" w:rsidRDefault="00102BF3">
            <w:pPr>
              <w:spacing w:after="0" w:line="240" w:lineRule="auto"/>
              <w:jc w:val="both"/>
              <w:rPr>
                <w:sz w:val="24"/>
                <w:szCs w:val="24"/>
              </w:rPr>
            </w:pPr>
            <w:r>
              <w:rPr>
                <w:rFonts w:ascii="Times New Roman" w:hAnsi="Times New Roman" w:cs="Times New Roman"/>
                <w:color w:val="000000"/>
                <w:sz w:val="24"/>
                <w:szCs w:val="24"/>
              </w:rPr>
              <w:t>Общие положения. Методическое обеспечение выполнения работ. Методика и особенности технологии проведения кадастровой оценки</w:t>
            </w:r>
          </w:p>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Теория инвентаризации</w:t>
            </w:r>
          </w:p>
          <w:p w:rsidR="00D215F6" w:rsidRDefault="00102BF3">
            <w:pPr>
              <w:spacing w:after="0" w:line="240" w:lineRule="auto"/>
              <w:jc w:val="center"/>
              <w:rPr>
                <w:sz w:val="24"/>
                <w:szCs w:val="24"/>
              </w:rPr>
            </w:pPr>
            <w:r>
              <w:rPr>
                <w:rFonts w:ascii="Times New Roman" w:hAnsi="Times New Roman" w:cs="Times New Roman"/>
                <w:b/>
                <w:color w:val="000000"/>
                <w:sz w:val="24"/>
                <w:szCs w:val="24"/>
              </w:rPr>
              <w:t>объектов недвижимости</w:t>
            </w:r>
          </w:p>
        </w:tc>
      </w:tr>
      <w:tr w:rsidR="00D215F6">
        <w:trPr>
          <w:trHeight w:hRule="exact" w:val="1096"/>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Понятие и основные отличия технической инвентаризация от государственной кадастровой оценки объектов недвижимости.</w:t>
            </w:r>
          </w:p>
          <w:p w:rsidR="00D215F6" w:rsidRDefault="00102BF3">
            <w:pPr>
              <w:spacing w:after="0" w:line="240" w:lineRule="auto"/>
              <w:jc w:val="both"/>
              <w:rPr>
                <w:sz w:val="24"/>
                <w:szCs w:val="24"/>
              </w:rPr>
            </w:pPr>
            <w:r>
              <w:rPr>
                <w:rFonts w:ascii="Times New Roman" w:hAnsi="Times New Roman" w:cs="Times New Roman"/>
                <w:color w:val="000000"/>
                <w:sz w:val="24"/>
                <w:szCs w:val="24"/>
              </w:rPr>
              <w:t>Сроки, порядок проведения и особенности инвентаризации недвижимого имущества. Этапы проведения инвентаризации недвижимого  имущества.</w:t>
            </w:r>
          </w:p>
        </w:tc>
      </w:tr>
      <w:tr w:rsidR="00D215F6">
        <w:trPr>
          <w:trHeight w:hRule="exact" w:val="277"/>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15F6">
        <w:trPr>
          <w:trHeight w:hRule="exact" w:val="147"/>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Порядок проведение государственной регистрации</w:t>
            </w:r>
          </w:p>
        </w:tc>
      </w:tr>
      <w:tr w:rsidR="00D215F6">
        <w:trPr>
          <w:trHeight w:hRule="exact" w:val="21"/>
        </w:trPr>
        <w:tc>
          <w:tcPr>
            <w:tcW w:w="9640" w:type="dxa"/>
          </w:tcPr>
          <w:p w:rsidR="00D215F6" w:rsidRDefault="00D215F6"/>
        </w:tc>
      </w:tr>
      <w:tr w:rsidR="00D215F6">
        <w:trPr>
          <w:trHeight w:hRule="exact" w:val="407"/>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Нормативная цена и объективные причины перехода к кадастровой стоимости объектов</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lastRenderedPageBreak/>
              <w:t>недвижимости для целей налогообложения и иных целей, установленных законом.</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Законодательство об оценочной деятельности в РФ</w:t>
            </w:r>
          </w:p>
        </w:tc>
      </w:tr>
      <w:tr w:rsidR="00D215F6">
        <w:trPr>
          <w:trHeight w:hRule="exact" w:val="21"/>
        </w:trPr>
        <w:tc>
          <w:tcPr>
            <w:tcW w:w="9640" w:type="dxa"/>
          </w:tcPr>
          <w:p w:rsidR="00D215F6" w:rsidRDefault="00D215F6"/>
        </w:tc>
      </w:tr>
      <w:tr w:rsidR="00D215F6">
        <w:trPr>
          <w:trHeight w:hRule="exact" w:val="112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Документирование государственного кадастрового учета</w:t>
            </w:r>
          </w:p>
        </w:tc>
      </w:tr>
      <w:tr w:rsidR="00D215F6">
        <w:trPr>
          <w:trHeight w:hRule="exact" w:val="21"/>
        </w:trPr>
        <w:tc>
          <w:tcPr>
            <w:tcW w:w="9640" w:type="dxa"/>
          </w:tcPr>
          <w:p w:rsidR="00D215F6" w:rsidRDefault="00D215F6"/>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Составление и обработка  документов, принятых на государственный кадастровый учет.</w:t>
            </w:r>
          </w:p>
        </w:tc>
      </w:tr>
      <w:tr w:rsidR="00D215F6">
        <w:trPr>
          <w:trHeight w:hRule="exact" w:val="8"/>
        </w:trPr>
        <w:tc>
          <w:tcPr>
            <w:tcW w:w="9640" w:type="dxa"/>
          </w:tcPr>
          <w:p w:rsidR="00D215F6" w:rsidRDefault="00D215F6"/>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Применение методов государственного кадастрового учета для объектов недвижимости</w:t>
            </w:r>
          </w:p>
        </w:tc>
      </w:tr>
      <w:tr w:rsidR="00D215F6">
        <w:trPr>
          <w:trHeight w:hRule="exact" w:val="21"/>
        </w:trPr>
        <w:tc>
          <w:tcPr>
            <w:tcW w:w="9640" w:type="dxa"/>
          </w:tcPr>
          <w:p w:rsidR="00D215F6" w:rsidRDefault="00D215F6"/>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Проведение ГКУ объектов недвижимости</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Порядок осуществления ГКУ</w:t>
            </w:r>
          </w:p>
        </w:tc>
      </w:tr>
      <w:tr w:rsidR="00D215F6">
        <w:trPr>
          <w:trHeight w:hRule="exact" w:val="21"/>
        </w:trPr>
        <w:tc>
          <w:tcPr>
            <w:tcW w:w="9640" w:type="dxa"/>
          </w:tcPr>
          <w:p w:rsidR="00D215F6" w:rsidRDefault="00D215F6"/>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Внесение сведений в  Автоматизированную информационную систему государственного кадастра недвижимости. Подготовка документации к выдаче</w:t>
            </w:r>
          </w:p>
        </w:tc>
      </w:tr>
      <w:tr w:rsidR="00D215F6">
        <w:trPr>
          <w:trHeight w:hRule="exact" w:val="8"/>
        </w:trPr>
        <w:tc>
          <w:tcPr>
            <w:tcW w:w="9640" w:type="dxa"/>
          </w:tcPr>
          <w:p w:rsidR="00D215F6" w:rsidRDefault="00D215F6"/>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Формирование перечня объектов недвижимости, подлежащих государственной кадастровой оценке</w:t>
            </w:r>
          </w:p>
        </w:tc>
      </w:tr>
      <w:tr w:rsidR="00D215F6">
        <w:trPr>
          <w:trHeight w:hRule="exact" w:val="21"/>
        </w:trPr>
        <w:tc>
          <w:tcPr>
            <w:tcW w:w="9640" w:type="dxa"/>
          </w:tcPr>
          <w:p w:rsidR="00D215F6" w:rsidRDefault="00D215F6"/>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Последовательность формирования, предоставления и обработки перечня объектов недвижимости, подлежащих государственной кадастровой оценке.</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Порядок проведения государственной кадастровой оценки</w:t>
            </w:r>
          </w:p>
        </w:tc>
      </w:tr>
      <w:tr w:rsidR="00D215F6">
        <w:trPr>
          <w:trHeight w:hRule="exact" w:val="21"/>
        </w:trPr>
        <w:tc>
          <w:tcPr>
            <w:tcW w:w="9640" w:type="dxa"/>
          </w:tcPr>
          <w:p w:rsidR="00D215F6" w:rsidRDefault="00D215F6"/>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Подготовка и проведение государственной кадастровой оценки</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Кадастровая отдельных объектов недвижимости</w:t>
            </w:r>
          </w:p>
        </w:tc>
      </w:tr>
      <w:tr w:rsidR="00D215F6">
        <w:trPr>
          <w:trHeight w:hRule="exact" w:val="21"/>
        </w:trPr>
        <w:tc>
          <w:tcPr>
            <w:tcW w:w="9640" w:type="dxa"/>
          </w:tcPr>
          <w:p w:rsidR="00D215F6" w:rsidRDefault="00D215F6"/>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Государственная кадастровая отдельных объектов недвижимости</w:t>
            </w:r>
          </w:p>
        </w:tc>
      </w:tr>
      <w:tr w:rsidR="00D215F6">
        <w:trPr>
          <w:trHeight w:hRule="exact" w:val="8"/>
        </w:trPr>
        <w:tc>
          <w:tcPr>
            <w:tcW w:w="9640" w:type="dxa"/>
          </w:tcPr>
          <w:p w:rsidR="00D215F6" w:rsidRDefault="00D215F6"/>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jc w:val="center"/>
              <w:rPr>
                <w:sz w:val="24"/>
                <w:szCs w:val="24"/>
              </w:rPr>
            </w:pPr>
            <w:r>
              <w:rPr>
                <w:rFonts w:ascii="Times New Roman" w:hAnsi="Times New Roman" w:cs="Times New Roman"/>
                <w:b/>
                <w:color w:val="000000"/>
                <w:sz w:val="24"/>
                <w:szCs w:val="24"/>
              </w:rPr>
              <w:t>Проведение инвентаризации объектов недвижимости</w:t>
            </w:r>
          </w:p>
        </w:tc>
      </w:tr>
      <w:tr w:rsidR="00D215F6">
        <w:trPr>
          <w:trHeight w:hRule="exact" w:val="21"/>
        </w:trPr>
        <w:tc>
          <w:tcPr>
            <w:tcW w:w="9640" w:type="dxa"/>
          </w:tcPr>
          <w:p w:rsidR="00D215F6" w:rsidRDefault="00D215F6"/>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Порядок проведения и особенности инвентаризация объектов недвижимости</w:t>
            </w:r>
          </w:p>
        </w:tc>
      </w:tr>
      <w:tr w:rsidR="00D215F6">
        <w:trPr>
          <w:trHeight w:hRule="exact" w:val="855"/>
        </w:trPr>
        <w:tc>
          <w:tcPr>
            <w:tcW w:w="9654" w:type="dxa"/>
            <w:shd w:val="clear" w:color="000000" w:fill="FFFFFF"/>
            <w:tcMar>
              <w:left w:w="34" w:type="dxa"/>
              <w:right w:w="34" w:type="dxa"/>
            </w:tcMar>
          </w:tcPr>
          <w:p w:rsidR="00D215F6" w:rsidRDefault="00D215F6">
            <w:pPr>
              <w:spacing w:after="0" w:line="240" w:lineRule="auto"/>
              <w:rPr>
                <w:sz w:val="24"/>
                <w:szCs w:val="24"/>
              </w:rPr>
            </w:pPr>
          </w:p>
          <w:p w:rsidR="00D215F6" w:rsidRDefault="00102B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15F6">
        <w:trPr>
          <w:trHeight w:hRule="exact" w:val="4912"/>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0.</w:t>
            </w:r>
          </w:p>
          <w:p w:rsidR="00D215F6" w:rsidRDefault="00102B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15F6" w:rsidRDefault="00102B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15F6" w:rsidRDefault="00102B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15F6">
        <w:trPr>
          <w:trHeight w:hRule="exact" w:val="138"/>
        </w:trPr>
        <w:tc>
          <w:tcPr>
            <w:tcW w:w="9640" w:type="dxa"/>
          </w:tcPr>
          <w:p w:rsidR="00D215F6" w:rsidRDefault="00D215F6"/>
        </w:tc>
      </w:tr>
      <w:tr w:rsidR="00D215F6">
        <w:trPr>
          <w:trHeight w:hRule="exact" w:val="85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15F6" w:rsidRDefault="00102BF3">
            <w:pPr>
              <w:spacing w:after="0" w:line="240" w:lineRule="auto"/>
              <w:rPr>
                <w:sz w:val="24"/>
                <w:szCs w:val="24"/>
              </w:rPr>
            </w:pPr>
            <w:r>
              <w:rPr>
                <w:rFonts w:ascii="Times New Roman" w:hAnsi="Times New Roman" w:cs="Times New Roman"/>
                <w:b/>
                <w:color w:val="000000"/>
                <w:sz w:val="24"/>
                <w:szCs w:val="24"/>
              </w:rPr>
              <w:t>Основная:</w:t>
            </w:r>
          </w:p>
        </w:tc>
      </w:tr>
      <w:tr w:rsidR="00D215F6">
        <w:trPr>
          <w:trHeight w:hRule="exact" w:val="826"/>
        </w:trPr>
        <w:tc>
          <w:tcPr>
            <w:tcW w:w="9654" w:type="dxa"/>
            <w:shd w:val="clear" w:color="000000" w:fill="FFFFFF"/>
            <w:tcMar>
              <w:left w:w="34" w:type="dxa"/>
              <w:right w:w="34" w:type="dxa"/>
            </w:tcMar>
          </w:tcPr>
          <w:p w:rsidR="00D215F6" w:rsidRDefault="00102B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Загидуллина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Сиразетдинов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2AF9">
                <w:rPr>
                  <w:rStyle w:val="a3"/>
                </w:rPr>
                <w:t>https://urait.ru/bcode/454123</w:t>
              </w:r>
            </w:hyperlink>
            <w:r>
              <w:t xml:space="preserve"> </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15F6">
        <w:trPr>
          <w:trHeight w:hRule="exact" w:val="555"/>
        </w:trPr>
        <w:tc>
          <w:tcPr>
            <w:tcW w:w="9654" w:type="dxa"/>
            <w:gridSpan w:val="2"/>
            <w:shd w:val="clear" w:color="000000" w:fill="FFFFFF"/>
            <w:tcMar>
              <w:left w:w="34" w:type="dxa"/>
              <w:right w:w="34" w:type="dxa"/>
            </w:tcMar>
          </w:tcPr>
          <w:p w:rsidR="00D215F6" w:rsidRDefault="00102BF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2AF9">
                <w:rPr>
                  <w:rStyle w:val="a3"/>
                </w:rPr>
                <w:t>https://urait.ru/bcode/448353</w:t>
              </w:r>
            </w:hyperlink>
            <w:r>
              <w:t xml:space="preserve"> </w:t>
            </w:r>
          </w:p>
        </w:tc>
      </w:tr>
      <w:tr w:rsidR="00D215F6">
        <w:trPr>
          <w:trHeight w:hRule="exact" w:val="826"/>
        </w:trPr>
        <w:tc>
          <w:tcPr>
            <w:tcW w:w="9654" w:type="dxa"/>
            <w:gridSpan w:val="2"/>
            <w:shd w:val="clear" w:color="000000" w:fill="FFFFFF"/>
            <w:tcMar>
              <w:left w:w="34" w:type="dxa"/>
              <w:right w:w="34" w:type="dxa"/>
            </w:tcMar>
          </w:tcPr>
          <w:p w:rsidR="00D215F6" w:rsidRDefault="00102B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2AF9">
                <w:rPr>
                  <w:rStyle w:val="a3"/>
                </w:rPr>
                <w:t>https://urait.ru/bcode/472596</w:t>
              </w:r>
            </w:hyperlink>
            <w:r>
              <w:t xml:space="preserve"> </w:t>
            </w:r>
          </w:p>
        </w:tc>
      </w:tr>
      <w:tr w:rsidR="00D215F6">
        <w:trPr>
          <w:trHeight w:hRule="exact" w:val="277"/>
        </w:trPr>
        <w:tc>
          <w:tcPr>
            <w:tcW w:w="285" w:type="dxa"/>
          </w:tcPr>
          <w:p w:rsidR="00D215F6" w:rsidRDefault="00D215F6"/>
        </w:tc>
        <w:tc>
          <w:tcPr>
            <w:tcW w:w="9370"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i/>
                <w:color w:val="000000"/>
                <w:sz w:val="24"/>
                <w:szCs w:val="24"/>
              </w:rPr>
              <w:t>Дополнительная:</w:t>
            </w:r>
          </w:p>
        </w:tc>
      </w:tr>
      <w:tr w:rsidR="00D215F6">
        <w:trPr>
          <w:trHeight w:hRule="exact" w:val="26"/>
        </w:trPr>
        <w:tc>
          <w:tcPr>
            <w:tcW w:w="9654" w:type="dxa"/>
            <w:gridSpan w:val="2"/>
            <w:vMerge w:val="restart"/>
            <w:shd w:val="clear" w:color="000000" w:fill="FFFFFF"/>
            <w:tcMar>
              <w:left w:w="34" w:type="dxa"/>
              <w:right w:w="34" w:type="dxa"/>
            </w:tcMar>
          </w:tcPr>
          <w:p w:rsidR="00D215F6" w:rsidRDefault="00102B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Каражакова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Бачуринская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2AF9">
                <w:rPr>
                  <w:rStyle w:val="a3"/>
                </w:rPr>
                <w:t>https://urait.ru/bcode/469504</w:t>
              </w:r>
            </w:hyperlink>
            <w:r>
              <w:t xml:space="preserve"> </w:t>
            </w:r>
          </w:p>
        </w:tc>
      </w:tr>
      <w:tr w:rsidR="00D215F6">
        <w:trPr>
          <w:trHeight w:hRule="exact" w:val="1069"/>
        </w:trPr>
        <w:tc>
          <w:tcPr>
            <w:tcW w:w="9654" w:type="dxa"/>
            <w:gridSpan w:val="2"/>
            <w:vMerge/>
            <w:shd w:val="clear" w:color="000000" w:fill="FFFFFF"/>
            <w:tcMar>
              <w:left w:w="34" w:type="dxa"/>
              <w:right w:w="34" w:type="dxa"/>
            </w:tcMar>
          </w:tcPr>
          <w:p w:rsidR="00D215F6" w:rsidRDefault="00D215F6"/>
        </w:tc>
      </w:tr>
      <w:tr w:rsidR="00D215F6">
        <w:trPr>
          <w:trHeight w:hRule="exact" w:val="555"/>
        </w:trPr>
        <w:tc>
          <w:tcPr>
            <w:tcW w:w="9654" w:type="dxa"/>
            <w:gridSpan w:val="2"/>
            <w:shd w:val="clear" w:color="000000" w:fill="FFFFFF"/>
            <w:tcMar>
              <w:left w:w="34" w:type="dxa"/>
              <w:right w:w="34" w:type="dxa"/>
            </w:tcMar>
          </w:tcPr>
          <w:p w:rsidR="00D215F6" w:rsidRDefault="00102B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12AF9">
                <w:rPr>
                  <w:rStyle w:val="a3"/>
                </w:rPr>
                <w:t>https://urait.ru/bcode/477964</w:t>
              </w:r>
            </w:hyperlink>
            <w:r>
              <w:t xml:space="preserve"> </w:t>
            </w:r>
          </w:p>
        </w:tc>
      </w:tr>
      <w:tr w:rsidR="00D215F6">
        <w:trPr>
          <w:trHeight w:hRule="exact" w:val="585"/>
        </w:trPr>
        <w:tc>
          <w:tcPr>
            <w:tcW w:w="9654" w:type="dxa"/>
            <w:gridSpan w:val="2"/>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15F6">
        <w:trPr>
          <w:trHeight w:hRule="exact" w:val="9751"/>
        </w:trPr>
        <w:tc>
          <w:tcPr>
            <w:tcW w:w="9654" w:type="dxa"/>
            <w:gridSpan w:val="2"/>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12AF9">
                <w:rPr>
                  <w:rStyle w:val="a3"/>
                  <w:rFonts w:ascii="Times New Roman" w:hAnsi="Times New Roman" w:cs="Times New Roman"/>
                  <w:sz w:val="24"/>
                  <w:szCs w:val="24"/>
                </w:rPr>
                <w:t>http://www.iprbookshop.ru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12AF9">
                <w:rPr>
                  <w:rStyle w:val="a3"/>
                  <w:rFonts w:ascii="Times New Roman" w:hAnsi="Times New Roman" w:cs="Times New Roman"/>
                  <w:sz w:val="24"/>
                  <w:szCs w:val="24"/>
                </w:rPr>
                <w:t>http://biblio-online.ru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12AF9">
                <w:rPr>
                  <w:rStyle w:val="a3"/>
                  <w:rFonts w:ascii="Times New Roman" w:hAnsi="Times New Roman" w:cs="Times New Roman"/>
                  <w:sz w:val="24"/>
                  <w:szCs w:val="24"/>
                </w:rPr>
                <w:t>http://window.edu.ru/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12AF9">
                <w:rPr>
                  <w:rStyle w:val="a3"/>
                  <w:rFonts w:ascii="Times New Roman" w:hAnsi="Times New Roman" w:cs="Times New Roman"/>
                  <w:sz w:val="24"/>
                  <w:szCs w:val="24"/>
                </w:rPr>
                <w:t>http://elibrary.ru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12AF9">
                <w:rPr>
                  <w:rStyle w:val="a3"/>
                  <w:rFonts w:ascii="Times New Roman" w:hAnsi="Times New Roman" w:cs="Times New Roman"/>
                  <w:sz w:val="24"/>
                  <w:szCs w:val="24"/>
                </w:rPr>
                <w:t>http://www.sciencedirect.com</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12AF9">
                <w:rPr>
                  <w:rStyle w:val="a3"/>
                  <w:rFonts w:ascii="Times New Roman" w:hAnsi="Times New Roman" w:cs="Times New Roman"/>
                  <w:sz w:val="24"/>
                  <w:szCs w:val="24"/>
                </w:rPr>
                <w:t>http://journals.cambridge.org</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12AF9">
                <w:rPr>
                  <w:rStyle w:val="a3"/>
                  <w:rFonts w:ascii="Times New Roman" w:hAnsi="Times New Roman" w:cs="Times New Roman"/>
                  <w:sz w:val="24"/>
                  <w:szCs w:val="24"/>
                </w:rPr>
                <w:t>http://www.oxfordjoumals.org</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12AF9">
                <w:rPr>
                  <w:rStyle w:val="a3"/>
                  <w:rFonts w:ascii="Times New Roman" w:hAnsi="Times New Roman" w:cs="Times New Roman"/>
                  <w:sz w:val="24"/>
                  <w:szCs w:val="24"/>
                </w:rPr>
                <w:t>http://dic.academic.ru/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12AF9">
                <w:rPr>
                  <w:rStyle w:val="a3"/>
                  <w:rFonts w:ascii="Times New Roman" w:hAnsi="Times New Roman" w:cs="Times New Roman"/>
                  <w:sz w:val="24"/>
                  <w:szCs w:val="24"/>
                </w:rPr>
                <w:t>http://www.benran.ru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12AF9">
                <w:rPr>
                  <w:rStyle w:val="a3"/>
                  <w:rFonts w:ascii="Times New Roman" w:hAnsi="Times New Roman" w:cs="Times New Roman"/>
                  <w:sz w:val="24"/>
                  <w:szCs w:val="24"/>
                </w:rPr>
                <w:t>http://www.gks.ru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12AF9">
                <w:rPr>
                  <w:rStyle w:val="a3"/>
                  <w:rFonts w:ascii="Times New Roman" w:hAnsi="Times New Roman" w:cs="Times New Roman"/>
                  <w:sz w:val="24"/>
                  <w:szCs w:val="24"/>
                </w:rPr>
                <w:t>http://diss.rsl.ru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12AF9">
                <w:rPr>
                  <w:rStyle w:val="a3"/>
                  <w:rFonts w:ascii="Times New Roman" w:hAnsi="Times New Roman" w:cs="Times New Roman"/>
                  <w:sz w:val="24"/>
                  <w:szCs w:val="24"/>
                </w:rPr>
                <w:t>http://ru.spinform.ru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15F6" w:rsidRDefault="00102B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15F6">
        <w:trPr>
          <w:trHeight w:hRule="exact" w:val="314"/>
        </w:trPr>
        <w:tc>
          <w:tcPr>
            <w:tcW w:w="9654" w:type="dxa"/>
            <w:gridSpan w:val="2"/>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15F6">
        <w:trPr>
          <w:trHeight w:hRule="exact" w:val="1429"/>
        </w:trPr>
        <w:tc>
          <w:tcPr>
            <w:tcW w:w="9654" w:type="dxa"/>
            <w:gridSpan w:val="2"/>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12386"/>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15F6" w:rsidRDefault="00102B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15F6" w:rsidRDefault="00102B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15F6" w:rsidRDefault="00102B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15F6" w:rsidRDefault="00102B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15F6" w:rsidRDefault="00102B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15F6" w:rsidRDefault="00102B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15F6" w:rsidRDefault="00102B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15F6" w:rsidRDefault="00102B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15F6" w:rsidRDefault="00102B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15F6" w:rsidRDefault="00102B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15F6">
        <w:trPr>
          <w:trHeight w:hRule="exact" w:val="85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15F6">
        <w:trPr>
          <w:trHeight w:hRule="exact" w:val="2150"/>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15F6" w:rsidRDefault="00D215F6">
            <w:pPr>
              <w:spacing w:after="0" w:line="240" w:lineRule="auto"/>
              <w:jc w:val="both"/>
              <w:rPr>
                <w:sz w:val="24"/>
                <w:szCs w:val="24"/>
              </w:rPr>
            </w:pPr>
          </w:p>
          <w:p w:rsidR="00D215F6" w:rsidRDefault="00102B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15F6" w:rsidRDefault="00102B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15F6" w:rsidRDefault="00102B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15F6" w:rsidRDefault="00102B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1096"/>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D215F6" w:rsidRDefault="00102B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15F6" w:rsidRDefault="00D215F6">
            <w:pPr>
              <w:spacing w:after="0" w:line="240" w:lineRule="auto"/>
              <w:jc w:val="both"/>
              <w:rPr>
                <w:sz w:val="24"/>
                <w:szCs w:val="24"/>
              </w:rPr>
            </w:pPr>
          </w:p>
          <w:p w:rsidR="00D215F6" w:rsidRDefault="00102B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12AF9">
                <w:rPr>
                  <w:rStyle w:val="a3"/>
                  <w:rFonts w:ascii="Times New Roman" w:hAnsi="Times New Roman" w:cs="Times New Roman"/>
                  <w:sz w:val="24"/>
                  <w:szCs w:val="24"/>
                </w:rPr>
                <w:t>http://www.president.kremlin.ru</w:t>
              </w:r>
            </w:hyperlink>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12AF9">
                <w:rPr>
                  <w:rStyle w:val="a3"/>
                  <w:rFonts w:ascii="Times New Roman" w:hAnsi="Times New Roman" w:cs="Times New Roman"/>
                  <w:sz w:val="24"/>
                  <w:szCs w:val="24"/>
                </w:rPr>
                <w:t>http://www.ict.edu.ru</w:t>
              </w:r>
            </w:hyperlink>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15F6">
        <w:trPr>
          <w:trHeight w:hRule="exact" w:val="30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12AF9">
                <w:rPr>
                  <w:rStyle w:val="a3"/>
                  <w:rFonts w:ascii="Times New Roman" w:hAnsi="Times New Roman" w:cs="Times New Roman"/>
                  <w:sz w:val="24"/>
                  <w:szCs w:val="24"/>
                </w:rPr>
                <w:t>http://pravo.gov.ru</w:t>
              </w:r>
            </w:hyperlink>
          </w:p>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12AF9">
                <w:rPr>
                  <w:rStyle w:val="a3"/>
                  <w:rFonts w:ascii="Times New Roman" w:hAnsi="Times New Roman" w:cs="Times New Roman"/>
                  <w:sz w:val="24"/>
                  <w:szCs w:val="24"/>
                </w:rPr>
                <w:t>http://www.consultant.ru/edu/student/study/</w:t>
              </w:r>
            </w:hyperlink>
          </w:p>
        </w:tc>
      </w:tr>
      <w:tr w:rsidR="00D215F6">
        <w:trPr>
          <w:trHeight w:hRule="exact" w:val="314"/>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15F6">
        <w:trPr>
          <w:trHeight w:hRule="exact" w:val="7587"/>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15F6" w:rsidRDefault="00102B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15F6" w:rsidRDefault="00102B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15F6" w:rsidRDefault="00102B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15F6" w:rsidRDefault="00102B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15F6" w:rsidRDefault="00102B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15F6" w:rsidRDefault="00102B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15F6" w:rsidRDefault="00102B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15F6" w:rsidRDefault="00102B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15F6" w:rsidRDefault="00102B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15F6" w:rsidRDefault="00102B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15F6" w:rsidRDefault="00102B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15F6" w:rsidRDefault="00102B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15F6" w:rsidRDefault="00102B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15F6">
        <w:trPr>
          <w:trHeight w:hRule="exact" w:val="277"/>
        </w:trPr>
        <w:tc>
          <w:tcPr>
            <w:tcW w:w="9640" w:type="dxa"/>
          </w:tcPr>
          <w:p w:rsidR="00D215F6" w:rsidRDefault="00D215F6"/>
        </w:tc>
      </w:tr>
      <w:tr w:rsidR="00D215F6">
        <w:trPr>
          <w:trHeight w:hRule="exact" w:val="585"/>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15F6">
        <w:trPr>
          <w:trHeight w:hRule="exact" w:val="3117"/>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15F6" w:rsidRDefault="00102B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15F6" w:rsidRDefault="00102B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11103"/>
        </w:trPr>
        <w:tc>
          <w:tcPr>
            <w:tcW w:w="9654" w:type="dxa"/>
            <w:shd w:val="clear" w:color="000000" w:fill="FFFFFF"/>
            <w:tcMar>
              <w:left w:w="34" w:type="dxa"/>
              <w:right w:w="34" w:type="dxa"/>
            </w:tcMar>
          </w:tcPr>
          <w:p w:rsidR="00D215F6" w:rsidRDefault="00102BF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15F6" w:rsidRDefault="00102B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15F6" w:rsidRDefault="00102B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215F6" w:rsidRDefault="00102B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15F6">
        <w:trPr>
          <w:trHeight w:hRule="exact" w:val="3830"/>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215F6">
        <w:trPr>
          <w:trHeight w:hRule="exact" w:val="457"/>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D215F6" w:rsidRDefault="00102B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15F6">
        <w:trPr>
          <w:trHeight w:hRule="exact" w:val="2207"/>
        </w:trPr>
        <w:tc>
          <w:tcPr>
            <w:tcW w:w="9654" w:type="dxa"/>
            <w:shd w:val="clear" w:color="000000" w:fill="FFFFFF"/>
            <w:tcMar>
              <w:left w:w="34" w:type="dxa"/>
              <w:right w:w="34" w:type="dxa"/>
            </w:tcMar>
          </w:tcPr>
          <w:p w:rsidR="00D215F6" w:rsidRDefault="00102BF3">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215F6" w:rsidRDefault="00D215F6"/>
    <w:sectPr w:rsidR="00D215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2BF3"/>
    <w:rsid w:val="001F0BC7"/>
    <w:rsid w:val="00491897"/>
    <w:rsid w:val="00812AF9"/>
    <w:rsid w:val="00D215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8FBE4E-AAFA-4BA0-87F3-A42BB3ED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BF3"/>
    <w:rPr>
      <w:color w:val="0563C1" w:themeColor="hyperlink"/>
      <w:u w:val="single"/>
    </w:rPr>
  </w:style>
  <w:style w:type="character" w:styleId="a4">
    <w:name w:val="Unresolved Mention"/>
    <w:basedOn w:val="a0"/>
    <w:uiPriority w:val="99"/>
    <w:semiHidden/>
    <w:unhideWhenUsed/>
    <w:rsid w:val="0081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79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50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259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483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412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6479</Words>
  <Characters>36934</Characters>
  <Application>Microsoft Office Word</Application>
  <DocSecurity>0</DocSecurity>
  <Lines>307</Lines>
  <Paragraphs>86</Paragraphs>
  <ScaleCrop>false</ScaleCrop>
  <Company>diakov.net</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2021-2022_ФГОС3++2021_Бак-ОФО-Э(БАиОСИ)(21)_plx_Государственная кадастровая оценка недвижимости</dc:title>
  <dc:creator>FastReport.NET</dc:creator>
  <cp:lastModifiedBy>Mark Bernstorf</cp:lastModifiedBy>
  <cp:revision>4</cp:revision>
  <dcterms:created xsi:type="dcterms:W3CDTF">2022-02-26T11:56:00Z</dcterms:created>
  <dcterms:modified xsi:type="dcterms:W3CDTF">2022-11-12T09:56:00Z</dcterms:modified>
</cp:coreProperties>
</file>